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EXTERIOR GATE COVERING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goal of the exterior gate covering policy is to allow residents a way to have privacy and to create a standard within the complex.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Material</w:t>
      </w:r>
      <w:r w:rsidDel="00000000" w:rsidR="00000000" w:rsidRPr="00000000">
        <w:rPr>
          <w:rtl w:val="0"/>
        </w:rPr>
        <w:t xml:space="preserve">: Two types of material are permitted to cover gates.</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Sun shade cloth type material.</w:t>
      </w: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Metal mesh/screen type material that has been installed in a frame.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Mounting and Size:</w:t>
      </w:r>
      <w:r w:rsidDel="00000000" w:rsidR="00000000" w:rsidRPr="00000000">
        <w:rPr>
          <w:rtl w:val="0"/>
        </w:rPr>
        <w:t xml:space="preserve"> The covering needs to be attached directly to the inside of the  gate. It should be the same height and width of the gate.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Color</w:t>
      </w:r>
      <w:r w:rsidDel="00000000" w:rsidR="00000000" w:rsidRPr="00000000">
        <w:rPr>
          <w:rtl w:val="0"/>
        </w:rPr>
        <w:t xml:space="preserve">: A plain neutral color that blends with the exterior stucco of the building shall be used. No designs or patterns.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Condition</w:t>
      </w:r>
      <w:r w:rsidDel="00000000" w:rsidR="00000000" w:rsidRPr="00000000">
        <w:rPr>
          <w:rtl w:val="0"/>
        </w:rPr>
        <w:t xml:space="preserve">: All coverings must be maintained in good condition by the homeowner and replaced as needed.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Anchors/Attachments</w:t>
      </w:r>
      <w:r w:rsidDel="00000000" w:rsidR="00000000" w:rsidRPr="00000000">
        <w:rPr>
          <w:rtl w:val="0"/>
        </w:rPr>
        <w:t xml:space="preserve">: All coverings must be anchored/attached securely to prevent movement (example: during wind and rain). Zip ties are not allowed for attaching coverings to gates.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Effective Date</w:t>
      </w:r>
      <w:r w:rsidDel="00000000" w:rsidR="00000000" w:rsidRPr="00000000">
        <w:rPr>
          <w:rtl w:val="0"/>
        </w:rPr>
        <w:t xml:space="preserve">: All current gate and railing coverings must be in compliance with the guidelines found in the Association Rule and Regulations adopted April 28, 2018. For future additions and replacements, gate and window coverings must be in compliance with this policy adopted 3/21/2026.</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I2n/c95YgEl4F0uNGapgueKyw==">CgMxLjA4AHIhMXF2X2xRYjZucDgwTDdhUGhqdkFRZG9hanlJRnhack5Q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